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8641" w14:textId="77777777" w:rsidR="00EC230D" w:rsidRDefault="0025753B" w:rsidP="0025753B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D4B07">
        <w:rPr>
          <w:rFonts w:ascii="Arial" w:eastAsia="Times New Roman" w:hAnsi="Arial" w:cs="Arial"/>
          <w:noProof/>
          <w:color w:val="000000"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46FF7653" wp14:editId="516B230C">
            <wp:simplePos x="0" y="0"/>
            <wp:positionH relativeFrom="column">
              <wp:posOffset>4777105</wp:posOffset>
            </wp:positionH>
            <wp:positionV relativeFrom="paragraph">
              <wp:posOffset>-598170</wp:posOffset>
            </wp:positionV>
            <wp:extent cx="1492199" cy="15716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99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B07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STADTVERWALTUNG</w:t>
      </w:r>
      <w:r w:rsidRPr="00CD4B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2A062C21" w14:textId="77777777" w:rsidR="003A29A4" w:rsidRPr="003A29A4" w:rsidRDefault="003A29A4" w:rsidP="0025753B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9D7B086" w14:textId="77777777" w:rsidR="0026495B" w:rsidRPr="00CD4B07" w:rsidRDefault="0026495B" w:rsidP="00CD4B0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29BE9E8" w14:textId="77777777" w:rsidR="00A856D0" w:rsidRPr="00CD4B07" w:rsidRDefault="00A856D0" w:rsidP="00CD4B0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2695254" w14:textId="77777777" w:rsidR="0026495B" w:rsidRDefault="0026495B" w:rsidP="00CD4B0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D8853D4" w14:textId="77777777" w:rsidR="00F1117D" w:rsidRDefault="00F1117D" w:rsidP="00CD4B0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204DAC2" w14:textId="77777777" w:rsidR="00F1117D" w:rsidRDefault="00F1117D" w:rsidP="00AB52D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111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111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111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111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111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111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1117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1117D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Borken, </w:t>
      </w:r>
      <w:r w:rsidR="00AB52D6">
        <w:rPr>
          <w:rFonts w:ascii="Arial" w:eastAsia="Times New Roman" w:hAnsi="Arial" w:cs="Arial"/>
          <w:sz w:val="24"/>
          <w:szCs w:val="24"/>
          <w:lang w:eastAsia="de-DE"/>
        </w:rPr>
        <w:t>14.07.2021</w:t>
      </w:r>
    </w:p>
    <w:p w14:paraId="3F49304C" w14:textId="77777777" w:rsidR="00F1117D" w:rsidRDefault="00F1117D" w:rsidP="00CD4B07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5CEBC22" w14:textId="77777777" w:rsidR="00A13ECC" w:rsidRDefault="00A13ECC" w:rsidP="00A13E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Außerordentliche Schulleiter</w:t>
      </w:r>
      <w:r w:rsidR="007E2986">
        <w:rPr>
          <w:rFonts w:ascii="Arial" w:eastAsia="Times New Roman" w:hAnsi="Arial" w:cs="Arial"/>
          <w:b/>
          <w:sz w:val="24"/>
          <w:szCs w:val="24"/>
          <w:lang w:eastAsia="de-DE"/>
        </w:rPr>
        <w:t>/</w:t>
      </w:r>
      <w:proofErr w:type="spellStart"/>
      <w:r w:rsidR="007E2986">
        <w:rPr>
          <w:rFonts w:ascii="Arial" w:eastAsia="Times New Roman" w:hAnsi="Arial" w:cs="Arial"/>
          <w:b/>
          <w:sz w:val="24"/>
          <w:szCs w:val="24"/>
          <w:lang w:eastAsia="de-DE"/>
        </w:rPr>
        <w:t>innen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besprechung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14:paraId="17144D1B" w14:textId="77777777" w:rsidR="00A13ECC" w:rsidRDefault="00A13ECC" w:rsidP="00A13E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0DEB5E4" w14:textId="77777777" w:rsidR="0026495B" w:rsidRPr="00CD4B07" w:rsidRDefault="00AA5D14" w:rsidP="00A13E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Lüftungsoptimierung in Klassenräumen </w:t>
      </w:r>
    </w:p>
    <w:p w14:paraId="7AF49E54" w14:textId="77777777" w:rsidR="0026495B" w:rsidRDefault="0026495B" w:rsidP="00CD4B0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56AE6B1" w14:textId="77777777" w:rsidR="00F1117D" w:rsidRDefault="00F1117D" w:rsidP="00F1117D">
      <w:pPr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120E227" w14:textId="77777777" w:rsidR="00F1117D" w:rsidRPr="007549F4" w:rsidRDefault="00F1117D" w:rsidP="00F1117D">
      <w:pPr>
        <w:spacing w:after="0"/>
        <w:rPr>
          <w:rFonts w:ascii="Arial" w:eastAsia="Webdings" w:hAnsi="Arial" w:cs="Arial"/>
          <w:b/>
          <w:kern w:val="3"/>
          <w:sz w:val="24"/>
          <w:szCs w:val="24"/>
          <w:lang w:eastAsia="de-DE"/>
        </w:rPr>
      </w:pPr>
      <w:r w:rsidRPr="007549F4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>Erläuterung:</w:t>
      </w:r>
    </w:p>
    <w:p w14:paraId="2590C172" w14:textId="77777777" w:rsidR="00C47992" w:rsidRPr="007549F4" w:rsidRDefault="00C47992" w:rsidP="00F1117D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3D59ECA2" w14:textId="77777777" w:rsidR="002E73A5" w:rsidRPr="007549F4" w:rsidRDefault="00C47992" w:rsidP="004228C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Die </w:t>
      </w:r>
      <w:r w:rsidR="002E73A5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Schulen sollen nach den Ferien wieder regulär und dauerhaft im Präsenzunterricht starten. Bei der Verbreitung von SARS-CoV-2-Viren spielen Aerosolpartikel eine wichtige Rolle</w:t>
      </w:r>
      <w:r w:rsidR="0010507B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.</w:t>
      </w:r>
      <w:r w:rsidR="00F16903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</w:t>
      </w:r>
    </w:p>
    <w:p w14:paraId="3DD7E1DC" w14:textId="77777777" w:rsidR="00D36A06" w:rsidRPr="007549F4" w:rsidRDefault="00D36A06" w:rsidP="004228C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1E009B0D" w14:textId="77777777" w:rsidR="0010507B" w:rsidRPr="007549F4" w:rsidRDefault="00F16903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Das RKI nennt als Hauptübe</w:t>
      </w:r>
      <w:r w:rsidR="002E73A5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rtragungsweg für SARS-CoV-2 die</w:t>
      </w:r>
      <w:r w:rsidR="0010507B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respiratorische Aufnahme virusbehafteter und somit infektiöser Partikel die beim Atmen, Husten, Sprechen und Niesen entstehen. </w:t>
      </w:r>
      <w:r w:rsidR="003B34A9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Das Infektionsrisiko wird durch gleichzeitige Aktivitäten vieler Personen in Gebäuden bzw. durch den Aufenthalt vieler Personen auf engem Raum begünstigt</w:t>
      </w:r>
      <w:r w:rsidR="00D36A06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, </w:t>
      </w:r>
      <w:r w:rsidR="0010507B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da infektiöse Partikel auch über längere Zeit in der Luft verweilen und sich verteilen können.</w:t>
      </w:r>
    </w:p>
    <w:p w14:paraId="18490B4E" w14:textId="77777777" w:rsidR="0010507B" w:rsidRPr="007549F4" w:rsidRDefault="0010507B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4543710C" w14:textId="77777777" w:rsidR="001509EE" w:rsidRPr="007549F4" w:rsidRDefault="00FB12BA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  <w:r>
        <w:rPr>
          <w:rFonts w:ascii="Arial" w:eastAsia="Webdings" w:hAnsi="Arial" w:cs="Arial"/>
          <w:kern w:val="3"/>
          <w:sz w:val="24"/>
          <w:szCs w:val="24"/>
          <w:lang w:eastAsia="de-DE"/>
        </w:rPr>
        <w:t>Vor dem Hintergrund, das</w:t>
      </w:r>
      <w:r w:rsidR="004228C4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Infektio</w:t>
      </w:r>
      <w:r>
        <w:rPr>
          <w:rFonts w:ascii="Arial" w:eastAsia="Webdings" w:hAnsi="Arial" w:cs="Arial"/>
          <w:kern w:val="3"/>
          <w:sz w:val="24"/>
          <w:szCs w:val="24"/>
          <w:lang w:eastAsia="de-DE"/>
        </w:rPr>
        <w:t>nsrisiko</w:t>
      </w:r>
      <w:r w:rsidR="00B2618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insbesondere für die Schüler*innen der Klassen 1-6, die nicht geimpft werden können,</w:t>
      </w:r>
      <w:r w:rsidR="004228C4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möglichst gering zu halten, ziehen wir in Erwägung, die Klassen</w:t>
      </w:r>
      <w:r w:rsidR="001509EE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-, OGS- und ÜMI-R</w:t>
      </w:r>
      <w:r w:rsidR="004228C4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äume in den Grundschulen und die Klassen</w:t>
      </w:r>
      <w:r w:rsidR="001509EE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räume</w:t>
      </w:r>
      <w:r w:rsidR="004228C4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5. und 6. der weiterführenden Schulen m</w:t>
      </w:r>
      <w:r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it technischer Unterstützung auszustatten. Damit soll die Chance </w:t>
      </w:r>
      <w:r w:rsidR="00B26184">
        <w:rPr>
          <w:rFonts w:ascii="Arial" w:eastAsia="Webdings" w:hAnsi="Arial" w:cs="Arial"/>
          <w:kern w:val="3"/>
          <w:sz w:val="24"/>
          <w:szCs w:val="24"/>
          <w:lang w:eastAsia="de-DE"/>
        </w:rPr>
        <w:t>auf</w:t>
      </w:r>
      <w:r w:rsidR="004228C4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Präsenzunterricht</w:t>
      </w:r>
      <w:r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erhöht werden.</w:t>
      </w:r>
      <w:r w:rsidR="004228C4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</w:t>
      </w:r>
    </w:p>
    <w:p w14:paraId="4754BEAA" w14:textId="77777777" w:rsidR="001509EE" w:rsidRPr="007549F4" w:rsidRDefault="001509EE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1923496A" w14:textId="77777777" w:rsidR="00910C66" w:rsidRPr="007549F4" w:rsidRDefault="00D36A06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„Impfen“ und „Testen“ </w:t>
      </w:r>
      <w:r w:rsidR="00FB12BA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sind die </w:t>
      </w: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zentrale</w:t>
      </w:r>
      <w:r w:rsidR="00FB12BA">
        <w:rPr>
          <w:rFonts w:ascii="Arial" w:eastAsia="Webdings" w:hAnsi="Arial" w:cs="Arial"/>
          <w:kern w:val="3"/>
          <w:sz w:val="24"/>
          <w:szCs w:val="24"/>
          <w:lang w:eastAsia="de-DE"/>
        </w:rPr>
        <w:t>n</w:t>
      </w: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Bestandste</w:t>
      </w:r>
      <w:r w:rsidR="00FB12BA">
        <w:rPr>
          <w:rFonts w:ascii="Arial" w:eastAsia="Webdings" w:hAnsi="Arial" w:cs="Arial"/>
          <w:kern w:val="3"/>
          <w:sz w:val="24"/>
          <w:szCs w:val="24"/>
          <w:lang w:eastAsia="de-DE"/>
        </w:rPr>
        <w:t>ile der Corona-Bekämpfung</w:t>
      </w:r>
      <w:r w:rsidR="00B37EAC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. </w:t>
      </w:r>
      <w:r w:rsidR="00910C66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Neben den zuvor genannten elementaren Komponenten </w:t>
      </w:r>
      <w:r w:rsidR="00E80475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setzen die Sc</w:t>
      </w:r>
      <w:r w:rsidR="001509EE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hulen bislang neben den </w:t>
      </w:r>
      <w:r w:rsidR="00E80475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bekannten Hygieneregeln auf regelmäßiges Lüften der Klassenräume. </w:t>
      </w:r>
      <w:r w:rsidR="00FB12BA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Sie wurden mit CO2-Meßgeräten ausgestattet. </w:t>
      </w:r>
    </w:p>
    <w:p w14:paraId="79C4302F" w14:textId="77777777" w:rsidR="00E80475" w:rsidRPr="007549F4" w:rsidRDefault="00E80475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Der Luftaustausch soll die Gefahr verringern, dass infizierte Schüler</w:t>
      </w:r>
      <w:r w:rsidR="00F01C4D">
        <w:rPr>
          <w:rFonts w:ascii="Arial" w:eastAsia="Webdings" w:hAnsi="Arial" w:cs="Arial"/>
          <w:kern w:val="3"/>
          <w:sz w:val="24"/>
          <w:szCs w:val="24"/>
          <w:lang w:eastAsia="de-DE"/>
        </w:rPr>
        <w:t>*innen</w:t>
      </w: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oder Lehrer</w:t>
      </w:r>
      <w:r w:rsidR="00F01C4D">
        <w:rPr>
          <w:rFonts w:ascii="Arial" w:eastAsia="Webdings" w:hAnsi="Arial" w:cs="Arial"/>
          <w:kern w:val="3"/>
          <w:sz w:val="24"/>
          <w:szCs w:val="24"/>
          <w:lang w:eastAsia="de-DE"/>
        </w:rPr>
        <w:t>*innen</w:t>
      </w: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die Viren weitertragen. Um auch in der kalten Jahreszeit einen Luftaustausch gewährleisten zu können, fordern immer mehr Experten/innen den flächendeckenden Einsatz von „Luftreinigungsgeräten“. </w:t>
      </w:r>
      <w:r w:rsidR="00FB12BA">
        <w:rPr>
          <w:rFonts w:ascii="Arial" w:eastAsia="Webdings" w:hAnsi="Arial" w:cs="Arial"/>
          <w:kern w:val="3"/>
          <w:sz w:val="24"/>
          <w:szCs w:val="24"/>
          <w:lang w:eastAsia="de-DE"/>
        </w:rPr>
        <w:t>So auch in einem aktuellen Schreiben der Schulpflegschaftsvorsitzenden der drei Ke</w:t>
      </w:r>
      <w:r w:rsidR="00AE2452">
        <w:rPr>
          <w:rFonts w:ascii="Arial" w:eastAsia="Webdings" w:hAnsi="Arial" w:cs="Arial"/>
          <w:kern w:val="3"/>
          <w:sz w:val="24"/>
          <w:szCs w:val="24"/>
          <w:lang w:eastAsia="de-DE"/>
        </w:rPr>
        <w:t>r</w:t>
      </w:r>
      <w:r w:rsidR="00FB12BA">
        <w:rPr>
          <w:rFonts w:ascii="Arial" w:eastAsia="Webdings" w:hAnsi="Arial" w:cs="Arial"/>
          <w:kern w:val="3"/>
          <w:sz w:val="24"/>
          <w:szCs w:val="24"/>
          <w:lang w:eastAsia="de-DE"/>
        </w:rPr>
        <w:t>nstadt-Grundschulen.</w:t>
      </w:r>
    </w:p>
    <w:p w14:paraId="7679829E" w14:textId="77777777" w:rsidR="00E80475" w:rsidRPr="007549F4" w:rsidRDefault="00E80475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2E94D7DE" w14:textId="77777777" w:rsidR="00DA02E0" w:rsidRDefault="00FB12BA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  <w:r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Um eine Verbesserung der Luftqualität zu erreichen, wurden unterschiedliche Möglichkeiten geprüft. </w:t>
      </w:r>
      <w:r w:rsidR="00DA02E0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Nach Auswertung</w:t>
      </w:r>
      <w:r w:rsidR="00910C66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von</w:t>
      </w:r>
      <w:r w:rsidR="00DA02E0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technische</w:t>
      </w:r>
      <w:r w:rsidR="00910C66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n</w:t>
      </w:r>
      <w:r w:rsidR="00DA02E0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Daten</w:t>
      </w:r>
      <w:r w:rsidR="00E80475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>; Prüfung von Lieferzeiten</w:t>
      </w:r>
      <w:r w:rsidR="007E0A77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und uns vorliegender Studien</w:t>
      </w:r>
      <w:r w:rsidR="00DA02E0"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möchten wir die folgenden Alternativen mit Ihren Vor- und Nachteilen kurz vorstellen.</w:t>
      </w:r>
    </w:p>
    <w:p w14:paraId="1F2A2BDA" w14:textId="77777777" w:rsidR="00A13ECC" w:rsidRDefault="00A13ECC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2FE1199F" w14:textId="77777777" w:rsidR="00A13ECC" w:rsidRPr="007549F4" w:rsidRDefault="00A13ECC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69A0B0EA" w14:textId="77777777" w:rsidR="00AA5D14" w:rsidRPr="007549F4" w:rsidRDefault="00AA5D14" w:rsidP="00F1117D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54AFFE23" w14:textId="77777777" w:rsidR="007549F4" w:rsidRPr="007549F4" w:rsidRDefault="007549F4" w:rsidP="007549F4">
      <w:pPr>
        <w:spacing w:after="0"/>
        <w:rPr>
          <w:rFonts w:ascii="Arial" w:eastAsia="Webdings" w:hAnsi="Arial" w:cs="Arial"/>
          <w:b/>
          <w:kern w:val="3"/>
          <w:sz w:val="24"/>
          <w:szCs w:val="24"/>
          <w:lang w:eastAsia="de-DE"/>
        </w:rPr>
      </w:pPr>
      <w:r w:rsidRPr="007549F4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>a) Stationäre raumlufttechnische (RLT)-Anlage:</w:t>
      </w:r>
    </w:p>
    <w:p w14:paraId="7EB56B96" w14:textId="77777777" w:rsid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10ED68C2" w14:textId="77777777" w:rsidR="00AE2452" w:rsidRDefault="00AE2452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  <w:r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Hierbei handelt es sich um </w:t>
      </w:r>
      <w:r w:rsidR="00466DAE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komplexe </w:t>
      </w:r>
      <w:r>
        <w:rPr>
          <w:rFonts w:ascii="Arial" w:eastAsia="Webdings" w:hAnsi="Arial" w:cs="Arial"/>
          <w:kern w:val="3"/>
          <w:sz w:val="24"/>
          <w:szCs w:val="24"/>
          <w:lang w:eastAsia="de-DE"/>
        </w:rPr>
        <w:t>festinstallierte Geräte, die an Wand oder Decke im hinteren Bereich der Klassenzimmer montiert werden. Die Geräte sind mit Wärmerückgewinnung und Filtertechnik sowie einem Direktanschluss an die Außenluft ausgestattet.</w:t>
      </w:r>
    </w:p>
    <w:p w14:paraId="7ED89957" w14:textId="77777777" w:rsidR="00AE2452" w:rsidRPr="007549F4" w:rsidRDefault="00AE2452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AE2452" w:rsidRPr="00AE2452" w14:paraId="64BFFFED" w14:textId="77777777" w:rsidTr="008E1703">
        <w:tc>
          <w:tcPr>
            <w:tcW w:w="4602" w:type="dxa"/>
            <w:shd w:val="clear" w:color="auto" w:fill="D0CECE" w:themeFill="background2" w:themeFillShade="E6"/>
          </w:tcPr>
          <w:p w14:paraId="567F87A7" w14:textId="77777777" w:rsidR="00AE2452" w:rsidRPr="00AE2452" w:rsidRDefault="00AE2452" w:rsidP="008E1703">
            <w:pPr>
              <w:spacing w:line="259" w:lineRule="auto"/>
              <w:rPr>
                <w:rFonts w:ascii="Arial" w:eastAsia="Webdings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AE2452">
              <w:rPr>
                <w:rFonts w:ascii="Arial" w:eastAsia="Webdings" w:hAnsi="Arial" w:cs="Arial"/>
                <w:b/>
                <w:kern w:val="3"/>
                <w:sz w:val="24"/>
                <w:szCs w:val="24"/>
                <w:lang w:eastAsia="de-DE"/>
              </w:rPr>
              <w:t>Pro:</w:t>
            </w:r>
          </w:p>
        </w:tc>
        <w:tc>
          <w:tcPr>
            <w:tcW w:w="4602" w:type="dxa"/>
            <w:shd w:val="clear" w:color="auto" w:fill="D0CECE" w:themeFill="background2" w:themeFillShade="E6"/>
          </w:tcPr>
          <w:p w14:paraId="758404FB" w14:textId="77777777" w:rsidR="00AE2452" w:rsidRPr="00AE2452" w:rsidRDefault="00AE2452" w:rsidP="008E1703">
            <w:pPr>
              <w:spacing w:line="259" w:lineRule="auto"/>
              <w:rPr>
                <w:rFonts w:ascii="Arial" w:eastAsia="Webdings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AE2452">
              <w:rPr>
                <w:rFonts w:ascii="Arial" w:eastAsia="Webdings" w:hAnsi="Arial" w:cs="Arial"/>
                <w:b/>
                <w:kern w:val="3"/>
                <w:sz w:val="24"/>
                <w:szCs w:val="24"/>
                <w:lang w:eastAsia="de-DE"/>
              </w:rPr>
              <w:t>Contra:</w:t>
            </w:r>
          </w:p>
        </w:tc>
      </w:tr>
      <w:tr w:rsidR="007549F4" w:rsidRPr="007549F4" w14:paraId="3033BF12" w14:textId="77777777" w:rsidTr="0011026E">
        <w:tc>
          <w:tcPr>
            <w:tcW w:w="4602" w:type="dxa"/>
          </w:tcPr>
          <w:p w14:paraId="34CA12EC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+ nachhaltige Anlagentechnik</w:t>
            </w:r>
          </w:p>
        </w:tc>
        <w:tc>
          <w:tcPr>
            <w:tcW w:w="4602" w:type="dxa"/>
          </w:tcPr>
          <w:p w14:paraId="4744A9D2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- durch Förderprozess (Antrag u. Bewilligung) keine zeitnahe Umsetzung möglich</w:t>
            </w:r>
          </w:p>
        </w:tc>
      </w:tr>
      <w:tr w:rsidR="007549F4" w:rsidRPr="007549F4" w14:paraId="080DCCBE" w14:textId="77777777" w:rsidTr="0011026E">
        <w:tc>
          <w:tcPr>
            <w:tcW w:w="4602" w:type="dxa"/>
          </w:tcPr>
          <w:p w14:paraId="4C35F0F3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+ wirksame Reduzierung von Virenbelastung</w:t>
            </w:r>
          </w:p>
        </w:tc>
        <w:tc>
          <w:tcPr>
            <w:tcW w:w="4602" w:type="dxa"/>
          </w:tcPr>
          <w:p w14:paraId="4C698B32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- hohe Investitionskosten</w:t>
            </w:r>
          </w:p>
        </w:tc>
      </w:tr>
      <w:tr w:rsidR="007549F4" w:rsidRPr="007549F4" w14:paraId="4C674AD7" w14:textId="77777777" w:rsidTr="0011026E">
        <w:tc>
          <w:tcPr>
            <w:tcW w:w="4602" w:type="dxa"/>
          </w:tcPr>
          <w:p w14:paraId="147444C1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+ durch Wärme- u. Feuchterückgewinnung wird die Energiebilanz der Gebäude geschont</w:t>
            </w:r>
          </w:p>
        </w:tc>
        <w:tc>
          <w:tcPr>
            <w:tcW w:w="4602" w:type="dxa"/>
          </w:tcPr>
          <w:p w14:paraId="4B7E6EA3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- hoher Wartungsaufwand (Filterwechsel, Anlagenservice)</w:t>
            </w:r>
          </w:p>
        </w:tc>
      </w:tr>
      <w:tr w:rsidR="007549F4" w:rsidRPr="007549F4" w14:paraId="5548022E" w14:textId="77777777" w:rsidTr="0011026E">
        <w:tc>
          <w:tcPr>
            <w:tcW w:w="4602" w:type="dxa"/>
          </w:tcPr>
          <w:p w14:paraId="31AEFBF7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+ förderfähig</w:t>
            </w:r>
          </w:p>
        </w:tc>
        <w:tc>
          <w:tcPr>
            <w:tcW w:w="4602" w:type="dxa"/>
          </w:tcPr>
          <w:p w14:paraId="2104EEC0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</w:p>
        </w:tc>
      </w:tr>
    </w:tbl>
    <w:p w14:paraId="46889506" w14:textId="77777777" w:rsidR="007549F4" w:rsidRP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00C9D9C1" w14:textId="77777777" w:rsidR="007549F4" w:rsidRP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Kosten: 150 Räume x 1 Anlage pro Raum x 12.000 Euro brutto </w:t>
      </w: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ab/>
        <w:t>= 1,80 Mio. Euro</w:t>
      </w:r>
    </w:p>
    <w:p w14:paraId="5AB37B08" w14:textId="77777777" w:rsidR="007549F4" w:rsidRPr="00AE2452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u w:val="single"/>
          <w:lang w:eastAsia="de-DE"/>
        </w:rPr>
      </w:pPr>
      <w:r w:rsidRPr="00AE2452">
        <w:rPr>
          <w:rFonts w:ascii="Arial" w:eastAsia="Webdings" w:hAnsi="Arial" w:cs="Arial"/>
          <w:kern w:val="3"/>
          <w:sz w:val="24"/>
          <w:szCs w:val="24"/>
          <w:u w:val="single"/>
          <w:lang w:eastAsia="de-DE"/>
        </w:rPr>
        <w:t xml:space="preserve">Förderung (80 %): </w:t>
      </w:r>
      <w:r w:rsidRPr="00AE2452">
        <w:rPr>
          <w:rFonts w:ascii="Arial" w:eastAsia="Webdings" w:hAnsi="Arial" w:cs="Arial"/>
          <w:kern w:val="3"/>
          <w:sz w:val="24"/>
          <w:szCs w:val="24"/>
          <w:u w:val="single"/>
          <w:lang w:eastAsia="de-DE"/>
        </w:rPr>
        <w:tab/>
      </w:r>
      <w:r w:rsidRPr="00AE2452">
        <w:rPr>
          <w:rFonts w:ascii="Arial" w:eastAsia="Webdings" w:hAnsi="Arial" w:cs="Arial"/>
          <w:kern w:val="3"/>
          <w:sz w:val="24"/>
          <w:szCs w:val="24"/>
          <w:u w:val="single"/>
          <w:lang w:eastAsia="de-DE"/>
        </w:rPr>
        <w:tab/>
      </w:r>
      <w:r w:rsidRPr="00AE2452">
        <w:rPr>
          <w:rFonts w:ascii="Arial" w:eastAsia="Webdings" w:hAnsi="Arial" w:cs="Arial"/>
          <w:kern w:val="3"/>
          <w:sz w:val="24"/>
          <w:szCs w:val="24"/>
          <w:u w:val="single"/>
          <w:lang w:eastAsia="de-DE"/>
        </w:rPr>
        <w:tab/>
      </w:r>
      <w:r w:rsidRPr="00AE2452">
        <w:rPr>
          <w:rFonts w:ascii="Arial" w:eastAsia="Webdings" w:hAnsi="Arial" w:cs="Arial"/>
          <w:kern w:val="3"/>
          <w:sz w:val="24"/>
          <w:szCs w:val="24"/>
          <w:u w:val="single"/>
          <w:lang w:eastAsia="de-DE"/>
        </w:rPr>
        <w:tab/>
      </w:r>
      <w:r w:rsidRPr="00AE2452">
        <w:rPr>
          <w:rFonts w:ascii="Arial" w:eastAsia="Webdings" w:hAnsi="Arial" w:cs="Arial"/>
          <w:kern w:val="3"/>
          <w:sz w:val="24"/>
          <w:szCs w:val="24"/>
          <w:u w:val="single"/>
          <w:lang w:eastAsia="de-DE"/>
        </w:rPr>
        <w:tab/>
      </w:r>
      <w:r w:rsidRPr="00AE2452">
        <w:rPr>
          <w:rFonts w:ascii="Arial" w:eastAsia="Webdings" w:hAnsi="Arial" w:cs="Arial"/>
          <w:kern w:val="3"/>
          <w:sz w:val="24"/>
          <w:szCs w:val="24"/>
          <w:u w:val="single"/>
          <w:lang w:eastAsia="de-DE"/>
        </w:rPr>
        <w:tab/>
      </w:r>
      <w:r w:rsidRPr="00AE2452">
        <w:rPr>
          <w:rFonts w:ascii="Arial" w:eastAsia="Webdings" w:hAnsi="Arial" w:cs="Arial"/>
          <w:kern w:val="3"/>
          <w:sz w:val="24"/>
          <w:szCs w:val="24"/>
          <w:u w:val="single"/>
          <w:lang w:eastAsia="de-DE"/>
        </w:rPr>
        <w:tab/>
      </w:r>
      <w:r w:rsidRPr="00AE2452">
        <w:rPr>
          <w:rFonts w:ascii="Arial" w:eastAsia="Webdings" w:hAnsi="Arial" w:cs="Arial"/>
          <w:kern w:val="3"/>
          <w:sz w:val="24"/>
          <w:szCs w:val="24"/>
          <w:u w:val="single"/>
          <w:lang w:eastAsia="de-DE"/>
        </w:rPr>
        <w:tab/>
        <w:t>= 1,44 Mio. Euro</w:t>
      </w:r>
    </w:p>
    <w:p w14:paraId="3283CB68" w14:textId="77777777" w:rsidR="007549F4" w:rsidRPr="00AE2452" w:rsidRDefault="007549F4" w:rsidP="007549F4">
      <w:pPr>
        <w:spacing w:after="0"/>
        <w:rPr>
          <w:rFonts w:ascii="Arial" w:eastAsia="Webdings" w:hAnsi="Arial" w:cs="Arial"/>
          <w:b/>
          <w:kern w:val="3"/>
          <w:sz w:val="24"/>
          <w:szCs w:val="24"/>
          <w:lang w:eastAsia="de-DE"/>
        </w:rPr>
      </w:pP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>Eigenanteil:</w:t>
      </w: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ab/>
      </w: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ab/>
      </w: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ab/>
      </w: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ab/>
      </w: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ab/>
      </w: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ab/>
      </w: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ab/>
      </w: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ab/>
      </w: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ab/>
        <w:t>= 360.000 Euro</w:t>
      </w:r>
    </w:p>
    <w:p w14:paraId="051F307F" w14:textId="77777777" w:rsidR="007549F4" w:rsidRP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18943834" w14:textId="77777777" w:rsidR="007549F4" w:rsidRP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093CE1FC" w14:textId="77777777" w:rsidR="007549F4" w:rsidRPr="007549F4" w:rsidRDefault="007549F4" w:rsidP="007549F4">
      <w:pPr>
        <w:spacing w:after="0"/>
        <w:rPr>
          <w:rFonts w:ascii="Arial" w:eastAsia="Webdings" w:hAnsi="Arial" w:cs="Arial"/>
          <w:b/>
          <w:kern w:val="3"/>
          <w:sz w:val="24"/>
          <w:szCs w:val="24"/>
          <w:lang w:eastAsia="de-DE"/>
        </w:rPr>
      </w:pPr>
      <w:r w:rsidRPr="007549F4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>b) automatisches Lüftungssystem für Klassenräume/Abluftventilatoren:</w:t>
      </w:r>
    </w:p>
    <w:p w14:paraId="7FB631C5" w14:textId="77777777" w:rsid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0BA05FBC" w14:textId="77777777" w:rsidR="00AE2452" w:rsidRDefault="00AE2452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  <w:r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Hierbei handelt es sich um solide </w:t>
      </w:r>
      <w:proofErr w:type="spellStart"/>
      <w:r>
        <w:rPr>
          <w:rFonts w:ascii="Arial" w:eastAsia="Webdings" w:hAnsi="Arial" w:cs="Arial"/>
          <w:kern w:val="3"/>
          <w:sz w:val="24"/>
          <w:szCs w:val="24"/>
          <w:lang w:eastAsia="de-DE"/>
        </w:rPr>
        <w:t>Ventilatorentechnik</w:t>
      </w:r>
      <w:proofErr w:type="spellEnd"/>
      <w:r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zur Beschleunigung des Luftaustausches</w:t>
      </w:r>
      <w:r w:rsidR="00466DAE">
        <w:rPr>
          <w:rFonts w:ascii="Arial" w:eastAsia="Webdings" w:hAnsi="Arial" w:cs="Arial"/>
          <w:kern w:val="3"/>
          <w:sz w:val="24"/>
          <w:szCs w:val="24"/>
          <w:lang w:eastAsia="de-DE"/>
        </w:rPr>
        <w:t>, eine Filterung der Luft erfolgt nicht</w:t>
      </w:r>
      <w:r>
        <w:rPr>
          <w:rFonts w:ascii="Arial" w:eastAsia="Webdings" w:hAnsi="Arial" w:cs="Arial"/>
          <w:kern w:val="3"/>
          <w:sz w:val="24"/>
          <w:szCs w:val="24"/>
          <w:lang w:eastAsia="de-DE"/>
        </w:rPr>
        <w:t>. Die Installation erfolgt in Fensterebene anstelle der Glasscheibe (vgl. Anlage 02 – Fotos).</w:t>
      </w:r>
    </w:p>
    <w:p w14:paraId="22856ADE" w14:textId="77777777" w:rsidR="00AE2452" w:rsidRPr="007549F4" w:rsidRDefault="00AE2452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7549F4" w:rsidRPr="00AE2452" w14:paraId="4D56AF71" w14:textId="77777777" w:rsidTr="00AE2452">
        <w:tc>
          <w:tcPr>
            <w:tcW w:w="4602" w:type="dxa"/>
            <w:shd w:val="clear" w:color="auto" w:fill="D0CECE" w:themeFill="background2" w:themeFillShade="E6"/>
          </w:tcPr>
          <w:p w14:paraId="736189A2" w14:textId="77777777" w:rsidR="007549F4" w:rsidRPr="00AE2452" w:rsidRDefault="007549F4" w:rsidP="007549F4">
            <w:pPr>
              <w:spacing w:line="259" w:lineRule="auto"/>
              <w:rPr>
                <w:rFonts w:ascii="Arial" w:eastAsia="Webdings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AE2452">
              <w:rPr>
                <w:rFonts w:ascii="Arial" w:eastAsia="Webdings" w:hAnsi="Arial" w:cs="Arial"/>
                <w:b/>
                <w:kern w:val="3"/>
                <w:sz w:val="24"/>
                <w:szCs w:val="24"/>
                <w:lang w:eastAsia="de-DE"/>
              </w:rPr>
              <w:t>Pro:</w:t>
            </w:r>
          </w:p>
        </w:tc>
        <w:tc>
          <w:tcPr>
            <w:tcW w:w="4602" w:type="dxa"/>
            <w:shd w:val="clear" w:color="auto" w:fill="D0CECE" w:themeFill="background2" w:themeFillShade="E6"/>
          </w:tcPr>
          <w:p w14:paraId="7FE9F486" w14:textId="77777777" w:rsidR="007549F4" w:rsidRPr="00AE2452" w:rsidRDefault="007549F4" w:rsidP="007549F4">
            <w:pPr>
              <w:spacing w:line="259" w:lineRule="auto"/>
              <w:rPr>
                <w:rFonts w:ascii="Arial" w:eastAsia="Webdings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AE2452">
              <w:rPr>
                <w:rFonts w:ascii="Arial" w:eastAsia="Webdings" w:hAnsi="Arial" w:cs="Arial"/>
                <w:b/>
                <w:kern w:val="3"/>
                <w:sz w:val="24"/>
                <w:szCs w:val="24"/>
                <w:lang w:eastAsia="de-DE"/>
              </w:rPr>
              <w:t>Contra:</w:t>
            </w:r>
          </w:p>
        </w:tc>
      </w:tr>
      <w:tr w:rsidR="007549F4" w:rsidRPr="007549F4" w14:paraId="624C585B" w14:textId="77777777" w:rsidTr="0011026E">
        <w:tc>
          <w:tcPr>
            <w:tcW w:w="4602" w:type="dxa"/>
          </w:tcPr>
          <w:p w14:paraId="11955826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+ zeitnah umsetzbar, kurzfristig verfügbar</w:t>
            </w:r>
          </w:p>
        </w:tc>
        <w:tc>
          <w:tcPr>
            <w:tcW w:w="4602" w:type="dxa"/>
          </w:tcPr>
          <w:p w14:paraId="296351F8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- nicht förderfähig</w:t>
            </w:r>
          </w:p>
        </w:tc>
      </w:tr>
      <w:tr w:rsidR="007549F4" w:rsidRPr="007549F4" w14:paraId="091C65C4" w14:textId="77777777" w:rsidTr="0011026E">
        <w:tc>
          <w:tcPr>
            <w:tcW w:w="4602" w:type="dxa"/>
          </w:tcPr>
          <w:p w14:paraId="25E67CEB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 xml:space="preserve">+ natürliche Luftaustauschrate hoch, 5-facher </w:t>
            </w:r>
            <w:proofErr w:type="gramStart"/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Luftwechsel  pro</w:t>
            </w:r>
            <w:proofErr w:type="gramEnd"/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 xml:space="preserve"> Stunde (Stufe 1) im Schulbetrieb</w:t>
            </w:r>
          </w:p>
        </w:tc>
        <w:tc>
          <w:tcPr>
            <w:tcW w:w="4602" w:type="dxa"/>
          </w:tcPr>
          <w:p w14:paraId="1652FF64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- Verschlechterung der Gebäude-Energiebilanz</w:t>
            </w:r>
          </w:p>
        </w:tc>
      </w:tr>
      <w:tr w:rsidR="007549F4" w:rsidRPr="007549F4" w14:paraId="4EA10CEC" w14:textId="77777777" w:rsidTr="0011026E">
        <w:tc>
          <w:tcPr>
            <w:tcW w:w="4602" w:type="dxa"/>
          </w:tcPr>
          <w:p w14:paraId="2178B9CA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+ keine Zugerscheinungen (niedrige Luftströme – kleiner 15 m / pro Sekunde)</w:t>
            </w:r>
          </w:p>
        </w:tc>
        <w:tc>
          <w:tcPr>
            <w:tcW w:w="4602" w:type="dxa"/>
          </w:tcPr>
          <w:p w14:paraId="2F7C4CF5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</w:p>
        </w:tc>
      </w:tr>
      <w:tr w:rsidR="007549F4" w:rsidRPr="007549F4" w14:paraId="63666570" w14:textId="77777777" w:rsidTr="0011026E">
        <w:tc>
          <w:tcPr>
            <w:tcW w:w="4602" w:type="dxa"/>
          </w:tcPr>
          <w:p w14:paraId="1379A33D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+ in Pausen 25-fache Luftwechselrate pro Stunde möglich durch Stufenschalter (Stufe 5)</w:t>
            </w:r>
          </w:p>
        </w:tc>
        <w:tc>
          <w:tcPr>
            <w:tcW w:w="4602" w:type="dxa"/>
          </w:tcPr>
          <w:p w14:paraId="3C78050C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</w:p>
        </w:tc>
      </w:tr>
      <w:tr w:rsidR="007549F4" w:rsidRPr="007549F4" w14:paraId="69B0278A" w14:textId="77777777" w:rsidTr="0011026E">
        <w:tc>
          <w:tcPr>
            <w:tcW w:w="4602" w:type="dxa"/>
          </w:tcPr>
          <w:p w14:paraId="6A4E6FD9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+ Geräuschentwicklung (Stufe 1) unter 35 dB (kaum hörbar)</w:t>
            </w:r>
          </w:p>
        </w:tc>
        <w:tc>
          <w:tcPr>
            <w:tcW w:w="4602" w:type="dxa"/>
          </w:tcPr>
          <w:p w14:paraId="5E25C2D4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</w:p>
        </w:tc>
      </w:tr>
      <w:tr w:rsidR="007549F4" w:rsidRPr="007549F4" w14:paraId="40F7379F" w14:textId="77777777" w:rsidTr="0011026E">
        <w:tc>
          <w:tcPr>
            <w:tcW w:w="4602" w:type="dxa"/>
          </w:tcPr>
          <w:p w14:paraId="25E9C1E2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 xml:space="preserve">+ solide Bauweise, </w:t>
            </w:r>
            <w:proofErr w:type="spellStart"/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störunanfällig</w:t>
            </w:r>
            <w:proofErr w:type="spellEnd"/>
          </w:p>
        </w:tc>
        <w:tc>
          <w:tcPr>
            <w:tcW w:w="4602" w:type="dxa"/>
          </w:tcPr>
          <w:p w14:paraId="13BFD265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</w:p>
        </w:tc>
      </w:tr>
    </w:tbl>
    <w:p w14:paraId="671D9AD0" w14:textId="77777777" w:rsidR="007549F4" w:rsidRP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75C90569" w14:textId="77777777" w:rsidR="007549F4" w:rsidRPr="00AE2452" w:rsidRDefault="007549F4" w:rsidP="007549F4">
      <w:pPr>
        <w:spacing w:after="0"/>
        <w:rPr>
          <w:rFonts w:ascii="Arial" w:eastAsia="Webdings" w:hAnsi="Arial" w:cs="Arial"/>
          <w:b/>
          <w:kern w:val="3"/>
          <w:sz w:val="24"/>
          <w:szCs w:val="24"/>
          <w:lang w:eastAsia="de-DE"/>
        </w:rPr>
      </w:pP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 xml:space="preserve">Kosten: </w:t>
      </w:r>
      <w:r w:rsidRPr="00AE2452">
        <w:rPr>
          <w:rFonts w:ascii="Arial" w:eastAsia="Webdings" w:hAnsi="Arial" w:cs="Arial"/>
          <w:kern w:val="3"/>
          <w:sz w:val="24"/>
          <w:szCs w:val="24"/>
          <w:lang w:eastAsia="de-DE"/>
        </w:rPr>
        <w:t>150 Räume x 1 Anlage pro Raum x 1.800 Euro brutto</w:t>
      </w: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 xml:space="preserve"> </w:t>
      </w: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ab/>
        <w:t>= 270.000 Euro</w:t>
      </w:r>
    </w:p>
    <w:p w14:paraId="3BE183E8" w14:textId="77777777" w:rsidR="007549F4" w:rsidRPr="00AE2452" w:rsidRDefault="007549F4" w:rsidP="007549F4">
      <w:pPr>
        <w:spacing w:after="0"/>
        <w:rPr>
          <w:rFonts w:ascii="Arial" w:eastAsia="Webdings" w:hAnsi="Arial" w:cs="Arial"/>
          <w:i/>
          <w:kern w:val="3"/>
          <w:sz w:val="24"/>
          <w:szCs w:val="24"/>
          <w:lang w:eastAsia="de-DE"/>
        </w:rPr>
      </w:pPr>
      <w:r w:rsidRPr="00AE2452">
        <w:rPr>
          <w:rFonts w:ascii="Arial" w:eastAsia="Webdings" w:hAnsi="Arial" w:cs="Arial"/>
          <w:i/>
          <w:kern w:val="3"/>
          <w:sz w:val="24"/>
          <w:szCs w:val="24"/>
          <w:lang w:eastAsia="de-DE"/>
        </w:rPr>
        <w:t>(keine Förderung)</w:t>
      </w:r>
    </w:p>
    <w:p w14:paraId="558E315F" w14:textId="77777777" w:rsidR="007549F4" w:rsidRP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4B08FE66" w14:textId="77777777" w:rsidR="007549F4" w:rsidRP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331476AE" w14:textId="77777777" w:rsidR="007549F4" w:rsidRPr="007549F4" w:rsidRDefault="007549F4" w:rsidP="007549F4">
      <w:pPr>
        <w:spacing w:after="0"/>
        <w:rPr>
          <w:rFonts w:ascii="Arial" w:eastAsia="Webdings" w:hAnsi="Arial" w:cs="Arial"/>
          <w:b/>
          <w:kern w:val="3"/>
          <w:sz w:val="24"/>
          <w:szCs w:val="24"/>
          <w:lang w:eastAsia="de-DE"/>
        </w:rPr>
      </w:pPr>
      <w:r w:rsidRPr="007549F4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>c) mobile Luftreinigungsgeräte</w:t>
      </w:r>
    </w:p>
    <w:p w14:paraId="3319D312" w14:textId="77777777" w:rsid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00C31590" w14:textId="77777777" w:rsidR="009175F8" w:rsidRDefault="009175F8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  <w:r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Es handelt sich um kleine, fahrbare Geräte, die die vorhandene Klassenzimmerluft lediglich filtern. Eine Frischluftzufuhr von außen sowie eine Verringerung des CO2-Gehaltes in der Raumluft erfolgen nicht. </w:t>
      </w:r>
    </w:p>
    <w:p w14:paraId="571ED561" w14:textId="77777777" w:rsidR="009175F8" w:rsidRPr="007549F4" w:rsidRDefault="009175F8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AE2452" w:rsidRPr="00AE2452" w14:paraId="31A63F3E" w14:textId="77777777" w:rsidTr="008E1703">
        <w:tc>
          <w:tcPr>
            <w:tcW w:w="4602" w:type="dxa"/>
            <w:shd w:val="clear" w:color="auto" w:fill="D0CECE" w:themeFill="background2" w:themeFillShade="E6"/>
          </w:tcPr>
          <w:p w14:paraId="54ECE08D" w14:textId="77777777" w:rsidR="00AE2452" w:rsidRPr="00AE2452" w:rsidRDefault="00AE2452" w:rsidP="008E1703">
            <w:pPr>
              <w:spacing w:line="259" w:lineRule="auto"/>
              <w:rPr>
                <w:rFonts w:ascii="Arial" w:eastAsia="Webdings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AE2452">
              <w:rPr>
                <w:rFonts w:ascii="Arial" w:eastAsia="Webdings" w:hAnsi="Arial" w:cs="Arial"/>
                <w:b/>
                <w:kern w:val="3"/>
                <w:sz w:val="24"/>
                <w:szCs w:val="24"/>
                <w:lang w:eastAsia="de-DE"/>
              </w:rPr>
              <w:t>Pro:</w:t>
            </w:r>
          </w:p>
        </w:tc>
        <w:tc>
          <w:tcPr>
            <w:tcW w:w="4602" w:type="dxa"/>
            <w:shd w:val="clear" w:color="auto" w:fill="D0CECE" w:themeFill="background2" w:themeFillShade="E6"/>
          </w:tcPr>
          <w:p w14:paraId="1E6F5F43" w14:textId="77777777" w:rsidR="00AE2452" w:rsidRPr="00AE2452" w:rsidRDefault="00AE2452" w:rsidP="008E1703">
            <w:pPr>
              <w:spacing w:line="259" w:lineRule="auto"/>
              <w:rPr>
                <w:rFonts w:ascii="Arial" w:eastAsia="Webdings" w:hAnsi="Arial" w:cs="Arial"/>
                <w:b/>
                <w:kern w:val="3"/>
                <w:sz w:val="24"/>
                <w:szCs w:val="24"/>
                <w:lang w:eastAsia="de-DE"/>
              </w:rPr>
            </w:pPr>
            <w:r w:rsidRPr="00AE2452">
              <w:rPr>
                <w:rFonts w:ascii="Arial" w:eastAsia="Webdings" w:hAnsi="Arial" w:cs="Arial"/>
                <w:b/>
                <w:kern w:val="3"/>
                <w:sz w:val="24"/>
                <w:szCs w:val="24"/>
                <w:lang w:eastAsia="de-DE"/>
              </w:rPr>
              <w:t>Contra:</w:t>
            </w:r>
          </w:p>
        </w:tc>
      </w:tr>
      <w:tr w:rsidR="007549F4" w:rsidRPr="007549F4" w14:paraId="2410336D" w14:textId="77777777" w:rsidTr="0011026E">
        <w:tc>
          <w:tcPr>
            <w:tcW w:w="4602" w:type="dxa"/>
          </w:tcPr>
          <w:p w14:paraId="51D50650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+ leicht installierbar</w:t>
            </w:r>
          </w:p>
        </w:tc>
        <w:tc>
          <w:tcPr>
            <w:tcW w:w="4602" w:type="dxa"/>
          </w:tcPr>
          <w:p w14:paraId="74600E44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- nicht förderfähig</w:t>
            </w:r>
          </w:p>
        </w:tc>
      </w:tr>
      <w:tr w:rsidR="007549F4" w:rsidRPr="007549F4" w14:paraId="27E0D34E" w14:textId="77777777" w:rsidTr="0011026E">
        <w:tc>
          <w:tcPr>
            <w:tcW w:w="4602" w:type="dxa"/>
          </w:tcPr>
          <w:p w14:paraId="1C91A5A8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4602" w:type="dxa"/>
          </w:tcPr>
          <w:p w14:paraId="1A8CD555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- hoher Energieverbrauch</w:t>
            </w:r>
          </w:p>
        </w:tc>
      </w:tr>
      <w:tr w:rsidR="007549F4" w:rsidRPr="007549F4" w14:paraId="68E18FB9" w14:textId="77777777" w:rsidTr="0011026E">
        <w:tc>
          <w:tcPr>
            <w:tcW w:w="4602" w:type="dxa"/>
          </w:tcPr>
          <w:p w14:paraId="77171E5D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4602" w:type="dxa"/>
          </w:tcPr>
          <w:p w14:paraId="4CF4DD7B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- hohe Geräusch- u. Wärmeentwicklung</w:t>
            </w:r>
          </w:p>
        </w:tc>
      </w:tr>
      <w:tr w:rsidR="007549F4" w:rsidRPr="007549F4" w14:paraId="06903E5B" w14:textId="77777777" w:rsidTr="0011026E">
        <w:tc>
          <w:tcPr>
            <w:tcW w:w="4602" w:type="dxa"/>
          </w:tcPr>
          <w:p w14:paraId="30539675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4602" w:type="dxa"/>
          </w:tcPr>
          <w:p w14:paraId="11BFCFB6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- Austrocknung der Luft</w:t>
            </w:r>
          </w:p>
        </w:tc>
      </w:tr>
      <w:tr w:rsidR="007549F4" w:rsidRPr="007549F4" w14:paraId="08C31AA1" w14:textId="77777777" w:rsidTr="0011026E">
        <w:tc>
          <w:tcPr>
            <w:tcW w:w="4602" w:type="dxa"/>
          </w:tcPr>
          <w:p w14:paraId="66B4D63D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4602" w:type="dxa"/>
          </w:tcPr>
          <w:p w14:paraId="428BD04E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- hohe Luftbeschleunigung (Zugerscheinungen)</w:t>
            </w:r>
          </w:p>
        </w:tc>
      </w:tr>
      <w:tr w:rsidR="007549F4" w:rsidRPr="007549F4" w14:paraId="3150C7B2" w14:textId="77777777" w:rsidTr="0011026E">
        <w:tc>
          <w:tcPr>
            <w:tcW w:w="4602" w:type="dxa"/>
          </w:tcPr>
          <w:p w14:paraId="3FE1413E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4602" w:type="dxa"/>
          </w:tcPr>
          <w:p w14:paraId="3F90CE8D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- eingeschränkte Lüftung, wenig natürliche Außenluft</w:t>
            </w:r>
          </w:p>
        </w:tc>
      </w:tr>
      <w:tr w:rsidR="007549F4" w:rsidRPr="007549F4" w14:paraId="6402A791" w14:textId="77777777" w:rsidTr="0011026E">
        <w:tc>
          <w:tcPr>
            <w:tcW w:w="4602" w:type="dxa"/>
          </w:tcPr>
          <w:p w14:paraId="0309D4A7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</w:p>
        </w:tc>
        <w:tc>
          <w:tcPr>
            <w:tcW w:w="4602" w:type="dxa"/>
          </w:tcPr>
          <w:p w14:paraId="2B2FCE1B" w14:textId="77777777" w:rsidR="007549F4" w:rsidRPr="007549F4" w:rsidRDefault="007549F4" w:rsidP="007549F4">
            <w:pPr>
              <w:spacing w:line="259" w:lineRule="auto"/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</w:pPr>
            <w:r w:rsidRPr="007549F4">
              <w:rPr>
                <w:rFonts w:ascii="Arial" w:eastAsia="Webdings" w:hAnsi="Arial" w:cs="Arial"/>
                <w:kern w:val="3"/>
                <w:sz w:val="24"/>
                <w:szCs w:val="24"/>
                <w:lang w:eastAsia="de-DE"/>
              </w:rPr>
              <w:t>- Wartungsaufwand (Filterwechsel usw.)</w:t>
            </w:r>
          </w:p>
        </w:tc>
      </w:tr>
    </w:tbl>
    <w:p w14:paraId="54E35AA3" w14:textId="77777777" w:rsidR="007549F4" w:rsidRP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31190DCF" w14:textId="77777777" w:rsidR="007549F4" w:rsidRPr="00AE2452" w:rsidRDefault="007549F4" w:rsidP="007549F4">
      <w:pPr>
        <w:spacing w:after="0"/>
        <w:rPr>
          <w:rFonts w:ascii="Arial" w:eastAsia="Webdings" w:hAnsi="Arial" w:cs="Arial"/>
          <w:b/>
          <w:kern w:val="3"/>
          <w:sz w:val="24"/>
          <w:szCs w:val="24"/>
          <w:lang w:eastAsia="de-DE"/>
        </w:rPr>
      </w:pP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>Kosten:</w:t>
      </w: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 150 Räume x 2 Anlagen pro Raum x 800 Euro brutto </w:t>
      </w: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ab/>
      </w:r>
      <w:r w:rsidRPr="00AE2452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>= 240.000 Euro</w:t>
      </w:r>
    </w:p>
    <w:p w14:paraId="29339BF0" w14:textId="77777777" w:rsidR="007549F4" w:rsidRPr="00AE2452" w:rsidRDefault="007549F4" w:rsidP="007549F4">
      <w:pPr>
        <w:spacing w:after="0"/>
        <w:rPr>
          <w:rFonts w:ascii="Arial" w:eastAsia="Webdings" w:hAnsi="Arial" w:cs="Arial"/>
          <w:i/>
          <w:kern w:val="3"/>
          <w:sz w:val="24"/>
          <w:szCs w:val="24"/>
          <w:lang w:eastAsia="de-DE"/>
        </w:rPr>
      </w:pPr>
      <w:r w:rsidRPr="00AE2452">
        <w:rPr>
          <w:rFonts w:ascii="Arial" w:eastAsia="Webdings" w:hAnsi="Arial" w:cs="Arial"/>
          <w:i/>
          <w:kern w:val="3"/>
          <w:sz w:val="24"/>
          <w:szCs w:val="24"/>
          <w:lang w:eastAsia="de-DE"/>
        </w:rPr>
        <w:t>(keine Förderung)</w:t>
      </w:r>
    </w:p>
    <w:p w14:paraId="3BF20295" w14:textId="77777777" w:rsidR="007549F4" w:rsidRP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4E59D10A" w14:textId="77777777" w:rsidR="00AA5D14" w:rsidRPr="007549F4" w:rsidRDefault="00AA5D14" w:rsidP="00F1117D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66B54E56" w14:textId="77777777" w:rsidR="00AE2452" w:rsidRDefault="00AE2452" w:rsidP="007549F4">
      <w:pPr>
        <w:spacing w:after="0"/>
        <w:rPr>
          <w:rFonts w:ascii="Arial" w:eastAsia="Webdings" w:hAnsi="Arial" w:cs="Arial"/>
          <w:b/>
          <w:kern w:val="3"/>
          <w:sz w:val="24"/>
          <w:szCs w:val="24"/>
          <w:lang w:eastAsia="de-DE"/>
        </w:rPr>
      </w:pPr>
    </w:p>
    <w:p w14:paraId="548B340C" w14:textId="77777777" w:rsidR="009175F8" w:rsidRDefault="009175F8" w:rsidP="007549F4">
      <w:pPr>
        <w:spacing w:after="0"/>
        <w:rPr>
          <w:rFonts w:ascii="Arial" w:eastAsia="Webdings" w:hAnsi="Arial" w:cs="Arial"/>
          <w:b/>
          <w:kern w:val="3"/>
          <w:sz w:val="24"/>
          <w:szCs w:val="24"/>
          <w:lang w:eastAsia="de-DE"/>
        </w:rPr>
      </w:pPr>
    </w:p>
    <w:p w14:paraId="7B58A565" w14:textId="77777777" w:rsidR="007549F4" w:rsidRPr="007549F4" w:rsidRDefault="007549F4" w:rsidP="007549F4">
      <w:pPr>
        <w:spacing w:after="0"/>
        <w:rPr>
          <w:rFonts w:ascii="Arial" w:eastAsia="Webdings" w:hAnsi="Arial" w:cs="Arial"/>
          <w:b/>
          <w:kern w:val="3"/>
          <w:sz w:val="24"/>
          <w:szCs w:val="24"/>
          <w:lang w:eastAsia="de-DE"/>
        </w:rPr>
      </w:pPr>
      <w:r w:rsidRPr="007549F4">
        <w:rPr>
          <w:rFonts w:ascii="Arial" w:eastAsia="Webdings" w:hAnsi="Arial" w:cs="Arial"/>
          <w:b/>
          <w:kern w:val="3"/>
          <w:sz w:val="24"/>
          <w:szCs w:val="24"/>
          <w:lang w:eastAsia="de-DE"/>
        </w:rPr>
        <w:t xml:space="preserve">Empfehlung: </w:t>
      </w:r>
    </w:p>
    <w:p w14:paraId="12CE0942" w14:textId="77777777" w:rsidR="007549F4" w:rsidRP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0545DC4E" w14:textId="77777777" w:rsidR="00A13ECC" w:rsidRDefault="007549F4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Bedingt durch die weiterhin anhaltende Corona-Pandemie und den kontinuierlichen Anstieg von Virus-Mutationen (z.B. Delta-Variante) empfiehlt die Verwaltung eine sehr kurzfristige Umsetzung, damit ein geregelter Schulbetrieb möglichst direkt nach den Sommerferien gewährleistet werden kann. Aus diesem Grund schlägt die Verwaltung die Beschaffung von automatischen Lüftungssystemen/Abluftventilatoren (Variante b) vor. Die Gesundheit der Schülerinnen und Schüler steht hierbei im Vordergrund. </w:t>
      </w:r>
    </w:p>
    <w:p w14:paraId="64216012" w14:textId="77777777" w:rsidR="00A13ECC" w:rsidRDefault="00A13ECC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6F6F742B" w14:textId="77777777" w:rsidR="007549F4" w:rsidRPr="007549F4" w:rsidRDefault="007549F4" w:rsidP="00AE2452">
      <w:pPr>
        <w:spacing w:after="0"/>
        <w:jc w:val="both"/>
        <w:rPr>
          <w:rFonts w:ascii="Arial" w:eastAsia="Webdings" w:hAnsi="Arial" w:cs="Arial"/>
          <w:kern w:val="3"/>
          <w:sz w:val="24"/>
          <w:szCs w:val="24"/>
          <w:lang w:eastAsia="de-DE"/>
        </w:rPr>
      </w:pPr>
      <w:r w:rsidRPr="007549F4">
        <w:rPr>
          <w:rFonts w:ascii="Arial" w:eastAsia="Webdings" w:hAnsi="Arial" w:cs="Arial"/>
          <w:kern w:val="3"/>
          <w:sz w:val="24"/>
          <w:szCs w:val="24"/>
          <w:lang w:eastAsia="de-DE"/>
        </w:rPr>
        <w:t xml:space="preserve">Parallel wird die zusätzliche Installation raumlufttechnischer Anlagen (Variante a) unter Auslotung der Fördermöglichkeiten </w:t>
      </w:r>
      <w:r w:rsidR="00A13ECC">
        <w:rPr>
          <w:rFonts w:ascii="Arial" w:eastAsia="Webdings" w:hAnsi="Arial" w:cs="Arial"/>
          <w:kern w:val="3"/>
          <w:sz w:val="24"/>
          <w:szCs w:val="24"/>
          <w:lang w:eastAsia="de-DE"/>
        </w:rPr>
        <w:t>geprüft.</w:t>
      </w:r>
    </w:p>
    <w:p w14:paraId="21C88976" w14:textId="77777777" w:rsidR="007549F4" w:rsidRPr="007549F4" w:rsidRDefault="007549F4" w:rsidP="007549F4">
      <w:pPr>
        <w:spacing w:after="0"/>
        <w:rPr>
          <w:rFonts w:ascii="Arial" w:eastAsia="Webdings" w:hAnsi="Arial" w:cs="Arial"/>
          <w:kern w:val="3"/>
          <w:sz w:val="24"/>
          <w:szCs w:val="24"/>
          <w:lang w:eastAsia="de-DE"/>
        </w:rPr>
      </w:pPr>
    </w:p>
    <w:p w14:paraId="254E46D1" w14:textId="77777777" w:rsidR="00790852" w:rsidRDefault="00790852" w:rsidP="002D6097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790852" w:rsidSect="00C15C9A">
      <w:pgSz w:w="11906" w:h="16838" w:code="9"/>
      <w:pgMar w:top="1418" w:right="1274" w:bottom="851" w:left="1418" w:header="709" w:footer="709" w:gutter="0"/>
      <w:paperSrc w:first="273" w:other="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EFF0" w14:textId="77777777" w:rsidR="002B5EF6" w:rsidRDefault="002B5EF6" w:rsidP="00EC230D">
      <w:pPr>
        <w:spacing w:after="0" w:line="240" w:lineRule="auto"/>
      </w:pPr>
      <w:r>
        <w:separator/>
      </w:r>
    </w:p>
  </w:endnote>
  <w:endnote w:type="continuationSeparator" w:id="0">
    <w:p w14:paraId="7BB899A4" w14:textId="77777777" w:rsidR="002B5EF6" w:rsidRDefault="002B5EF6" w:rsidP="00EC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17A4" w14:textId="77777777" w:rsidR="002B5EF6" w:rsidRDefault="002B5EF6" w:rsidP="00EC230D">
      <w:pPr>
        <w:spacing w:after="0" w:line="240" w:lineRule="auto"/>
      </w:pPr>
      <w:r>
        <w:separator/>
      </w:r>
    </w:p>
  </w:footnote>
  <w:footnote w:type="continuationSeparator" w:id="0">
    <w:p w14:paraId="692F36E7" w14:textId="77777777" w:rsidR="002B5EF6" w:rsidRDefault="002B5EF6" w:rsidP="00EC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72F"/>
    <w:multiLevelType w:val="multilevel"/>
    <w:tmpl w:val="AF642B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C5068D2"/>
    <w:multiLevelType w:val="hybridMultilevel"/>
    <w:tmpl w:val="29FE7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E733C"/>
    <w:multiLevelType w:val="multilevel"/>
    <w:tmpl w:val="338835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6666F69"/>
    <w:multiLevelType w:val="hybridMultilevel"/>
    <w:tmpl w:val="2B4ED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93A99"/>
    <w:multiLevelType w:val="hybridMultilevel"/>
    <w:tmpl w:val="FCBA2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F5150"/>
    <w:multiLevelType w:val="hybridMultilevel"/>
    <w:tmpl w:val="0CCC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teilung" w:val="Fachbereich 51.4- Schule und Sport"/>
    <w:docVar w:name="Anzeigename" w:val="Andreas Haick"/>
    <w:docVar w:name="Benutzeranmeldename" w:val="andreas.haick"/>
    <w:docVar w:name="Beschreibung" w:val="Andreas Haick"/>
    <w:docVar w:name="Buero" w:val="C-250"/>
    <w:docVar w:name="Email" w:val="andreas.haick@borken.de"/>
    <w:docVar w:name="Firma" w:val="Rathaus Gebaeude C"/>
    <w:docVar w:name="Initialen" w:val="51"/>
    <w:docVar w:name="Mitarbeiter" w:val=" - "/>
    <w:docVar w:name="Nachname" w:val="Haick"/>
    <w:docVar w:name="Ort" w:val="Borken"/>
    <w:docVar w:name="Position" w:val="Fachabteilungsleiter"/>
    <w:docVar w:name="Postleitzahl" w:val="46325"/>
    <w:docVar w:name="Rufnummer" w:val="02861 939-162"/>
    <w:docVar w:name="RufnummernFax" w:val="02861 93962-162"/>
    <w:docVar w:name="RufnummernIPTelefon" w:val="+492861/939-162"/>
    <w:docVar w:name="RufnummernMobil" w:val="0171 2237145"/>
    <w:docVar w:name="RufnummernPager" w:val="26713"/>
    <w:docVar w:name="RufnummernPrivat" w:val="02.51.04.001"/>
    <w:docVar w:name="Strasse" w:val="Im Piepershagen 17"/>
    <w:docVar w:name="Vorname" w:val="Andreas"/>
  </w:docVars>
  <w:rsids>
    <w:rsidRoot w:val="0006481D"/>
    <w:rsid w:val="00033A18"/>
    <w:rsid w:val="000361BA"/>
    <w:rsid w:val="0006481D"/>
    <w:rsid w:val="00071F04"/>
    <w:rsid w:val="00072096"/>
    <w:rsid w:val="00094F48"/>
    <w:rsid w:val="000B72C2"/>
    <w:rsid w:val="000C3A47"/>
    <w:rsid w:val="000C4A80"/>
    <w:rsid w:val="000D109E"/>
    <w:rsid w:val="000E491D"/>
    <w:rsid w:val="000F4FE7"/>
    <w:rsid w:val="0010507B"/>
    <w:rsid w:val="00127620"/>
    <w:rsid w:val="0014435D"/>
    <w:rsid w:val="001509EE"/>
    <w:rsid w:val="00170EF0"/>
    <w:rsid w:val="001957AD"/>
    <w:rsid w:val="001A331E"/>
    <w:rsid w:val="002110F5"/>
    <w:rsid w:val="00213E18"/>
    <w:rsid w:val="00230AB1"/>
    <w:rsid w:val="0025446A"/>
    <w:rsid w:val="0025753B"/>
    <w:rsid w:val="002634C7"/>
    <w:rsid w:val="0026495B"/>
    <w:rsid w:val="00267424"/>
    <w:rsid w:val="002963BF"/>
    <w:rsid w:val="002A2D3C"/>
    <w:rsid w:val="002A44E5"/>
    <w:rsid w:val="002A7602"/>
    <w:rsid w:val="002B5EF6"/>
    <w:rsid w:val="002B77A5"/>
    <w:rsid w:val="002C2B5C"/>
    <w:rsid w:val="002C2D6E"/>
    <w:rsid w:val="002C4024"/>
    <w:rsid w:val="002D0464"/>
    <w:rsid w:val="002D3110"/>
    <w:rsid w:val="002D6097"/>
    <w:rsid w:val="002E73A5"/>
    <w:rsid w:val="003311EE"/>
    <w:rsid w:val="003322BA"/>
    <w:rsid w:val="00334B91"/>
    <w:rsid w:val="00335105"/>
    <w:rsid w:val="00361002"/>
    <w:rsid w:val="003702F8"/>
    <w:rsid w:val="00370A50"/>
    <w:rsid w:val="0037631E"/>
    <w:rsid w:val="003771FF"/>
    <w:rsid w:val="003A0D37"/>
    <w:rsid w:val="003A29A4"/>
    <w:rsid w:val="003B34A9"/>
    <w:rsid w:val="003C6243"/>
    <w:rsid w:val="003E6324"/>
    <w:rsid w:val="00400709"/>
    <w:rsid w:val="00415313"/>
    <w:rsid w:val="004228C4"/>
    <w:rsid w:val="00427408"/>
    <w:rsid w:val="004309E8"/>
    <w:rsid w:val="0043560A"/>
    <w:rsid w:val="00454F76"/>
    <w:rsid w:val="00466DAE"/>
    <w:rsid w:val="004761AA"/>
    <w:rsid w:val="00484C41"/>
    <w:rsid w:val="0048783C"/>
    <w:rsid w:val="004A3DCA"/>
    <w:rsid w:val="00522F03"/>
    <w:rsid w:val="005333F4"/>
    <w:rsid w:val="00537A5F"/>
    <w:rsid w:val="00537C8E"/>
    <w:rsid w:val="0055110D"/>
    <w:rsid w:val="005629E4"/>
    <w:rsid w:val="005946C7"/>
    <w:rsid w:val="005B016A"/>
    <w:rsid w:val="005E1B17"/>
    <w:rsid w:val="005F0631"/>
    <w:rsid w:val="005F59E6"/>
    <w:rsid w:val="00654605"/>
    <w:rsid w:val="0067397E"/>
    <w:rsid w:val="0067760D"/>
    <w:rsid w:val="006908CC"/>
    <w:rsid w:val="006B2320"/>
    <w:rsid w:val="00725CD7"/>
    <w:rsid w:val="00726815"/>
    <w:rsid w:val="00727547"/>
    <w:rsid w:val="00730BD6"/>
    <w:rsid w:val="007444B1"/>
    <w:rsid w:val="007549F4"/>
    <w:rsid w:val="00760C35"/>
    <w:rsid w:val="00770997"/>
    <w:rsid w:val="00776BA1"/>
    <w:rsid w:val="00780671"/>
    <w:rsid w:val="00783220"/>
    <w:rsid w:val="00790852"/>
    <w:rsid w:val="007C69A0"/>
    <w:rsid w:val="007E0A77"/>
    <w:rsid w:val="007E2986"/>
    <w:rsid w:val="007E4663"/>
    <w:rsid w:val="007F185F"/>
    <w:rsid w:val="008275BA"/>
    <w:rsid w:val="008470CB"/>
    <w:rsid w:val="0085588C"/>
    <w:rsid w:val="00864503"/>
    <w:rsid w:val="00884524"/>
    <w:rsid w:val="008E0766"/>
    <w:rsid w:val="008F37CD"/>
    <w:rsid w:val="00910A4A"/>
    <w:rsid w:val="00910C66"/>
    <w:rsid w:val="009175F8"/>
    <w:rsid w:val="00942EAD"/>
    <w:rsid w:val="00971025"/>
    <w:rsid w:val="00980EE0"/>
    <w:rsid w:val="009816C6"/>
    <w:rsid w:val="009A3A99"/>
    <w:rsid w:val="009D56B0"/>
    <w:rsid w:val="009E3E33"/>
    <w:rsid w:val="009F4617"/>
    <w:rsid w:val="00A104D9"/>
    <w:rsid w:val="00A13ECC"/>
    <w:rsid w:val="00A2677F"/>
    <w:rsid w:val="00A52755"/>
    <w:rsid w:val="00A856D0"/>
    <w:rsid w:val="00AA5D14"/>
    <w:rsid w:val="00AB52D6"/>
    <w:rsid w:val="00AE2452"/>
    <w:rsid w:val="00B02740"/>
    <w:rsid w:val="00B106BB"/>
    <w:rsid w:val="00B26184"/>
    <w:rsid w:val="00B37EAC"/>
    <w:rsid w:val="00B57105"/>
    <w:rsid w:val="00B711B7"/>
    <w:rsid w:val="00B859FC"/>
    <w:rsid w:val="00BB700A"/>
    <w:rsid w:val="00BE1693"/>
    <w:rsid w:val="00BF715D"/>
    <w:rsid w:val="00C01E93"/>
    <w:rsid w:val="00C1043E"/>
    <w:rsid w:val="00C15C9A"/>
    <w:rsid w:val="00C21464"/>
    <w:rsid w:val="00C24856"/>
    <w:rsid w:val="00C47992"/>
    <w:rsid w:val="00C65E87"/>
    <w:rsid w:val="00C674E8"/>
    <w:rsid w:val="00C6751D"/>
    <w:rsid w:val="00C77720"/>
    <w:rsid w:val="00CD4B07"/>
    <w:rsid w:val="00CD5E3A"/>
    <w:rsid w:val="00D26CD2"/>
    <w:rsid w:val="00D36A06"/>
    <w:rsid w:val="00D729BF"/>
    <w:rsid w:val="00D86DE7"/>
    <w:rsid w:val="00D923EE"/>
    <w:rsid w:val="00D944B7"/>
    <w:rsid w:val="00DA02E0"/>
    <w:rsid w:val="00DA1F5E"/>
    <w:rsid w:val="00DB2742"/>
    <w:rsid w:val="00DC5450"/>
    <w:rsid w:val="00DD31F8"/>
    <w:rsid w:val="00DD5EC9"/>
    <w:rsid w:val="00DD6986"/>
    <w:rsid w:val="00DE66B1"/>
    <w:rsid w:val="00E24607"/>
    <w:rsid w:val="00E27473"/>
    <w:rsid w:val="00E36B14"/>
    <w:rsid w:val="00E54D0E"/>
    <w:rsid w:val="00E80475"/>
    <w:rsid w:val="00EB1EE3"/>
    <w:rsid w:val="00EB2EBC"/>
    <w:rsid w:val="00EC230D"/>
    <w:rsid w:val="00EF0C13"/>
    <w:rsid w:val="00EF3025"/>
    <w:rsid w:val="00F01C4D"/>
    <w:rsid w:val="00F07500"/>
    <w:rsid w:val="00F1117D"/>
    <w:rsid w:val="00F16903"/>
    <w:rsid w:val="00F2109E"/>
    <w:rsid w:val="00F23553"/>
    <w:rsid w:val="00F60A95"/>
    <w:rsid w:val="00F619DA"/>
    <w:rsid w:val="00FB12BA"/>
    <w:rsid w:val="00FB3BB1"/>
    <w:rsid w:val="00FC4FC6"/>
    <w:rsid w:val="00FD266D"/>
    <w:rsid w:val="00FD2A39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A924"/>
  <w15:chartTrackingRefBased/>
  <w15:docId w15:val="{A7011FD6-BB39-4FB9-B9C1-03F4C0E1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5753B"/>
    <w:pPr>
      <w:spacing w:before="363"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5753B"/>
    <w:rPr>
      <w:rFonts w:ascii="Times New Roman" w:eastAsia="Times New Roman" w:hAnsi="Times New Roman" w:cs="Times New Roman"/>
      <w:b/>
      <w:bCs/>
      <w:color w:val="000000"/>
      <w:sz w:val="36"/>
      <w:szCs w:val="36"/>
      <w:lang w:eastAsia="de-DE"/>
    </w:rPr>
  </w:style>
  <w:style w:type="paragraph" w:customStyle="1" w:styleId="western">
    <w:name w:val="western"/>
    <w:basedOn w:val="Standard"/>
    <w:rsid w:val="0025753B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575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5753B"/>
    <w:rPr>
      <w:rFonts w:ascii="Arial" w:eastAsia="Times New Roman" w:hAnsi="Arial" w:cs="Arial"/>
      <w:vanish/>
      <w:color w:val="000000"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575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5753B"/>
    <w:rPr>
      <w:rFonts w:ascii="Arial" w:eastAsia="Times New Roman" w:hAnsi="Arial" w:cs="Arial"/>
      <w:vanish/>
      <w:color w:val="000000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753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C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30D"/>
  </w:style>
  <w:style w:type="paragraph" w:styleId="Fuzeile">
    <w:name w:val="footer"/>
    <w:basedOn w:val="Standard"/>
    <w:link w:val="FuzeileZchn"/>
    <w:uiPriority w:val="99"/>
    <w:unhideWhenUsed/>
    <w:rsid w:val="00EC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30D"/>
  </w:style>
  <w:style w:type="paragraph" w:styleId="Listenabsatz">
    <w:name w:val="List Paragraph"/>
    <w:basedOn w:val="Standard"/>
    <w:uiPriority w:val="34"/>
    <w:qFormat/>
    <w:rsid w:val="000C4A80"/>
    <w:pPr>
      <w:ind w:left="720"/>
      <w:contextualSpacing/>
    </w:pPr>
  </w:style>
  <w:style w:type="table" w:styleId="Tabellenraster">
    <w:name w:val="Table Grid"/>
    <w:basedOn w:val="NormaleTabelle"/>
    <w:uiPriority w:val="39"/>
    <w:rsid w:val="0091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BF"/>
    <w:rPr>
      <w:rFonts w:ascii="Segoe UI" w:hAnsi="Segoe UI" w:cs="Segoe UI"/>
      <w:sz w:val="18"/>
      <w:szCs w:val="18"/>
    </w:rPr>
  </w:style>
  <w:style w:type="paragraph" w:customStyle="1" w:styleId="autorenzeilezeile">
    <w:name w:val="autorenzeile__zeile"/>
    <w:basedOn w:val="Standard"/>
    <w:rsid w:val="00C4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orenzeileautor">
    <w:name w:val="autorenzeile__autor"/>
    <w:basedOn w:val="Absatz-Standardschriftart"/>
    <w:rsid w:val="00C47992"/>
  </w:style>
  <w:style w:type="character" w:customStyle="1" w:styleId="autorenzeilestudio">
    <w:name w:val="autorenzeile__studio"/>
    <w:basedOn w:val="Absatz-Standardschriftart"/>
    <w:rsid w:val="00C47992"/>
  </w:style>
  <w:style w:type="paragraph" w:customStyle="1" w:styleId="m-ten">
    <w:name w:val="m-ten"/>
    <w:basedOn w:val="Standard"/>
    <w:rsid w:val="00C4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4799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80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_office\Mitteilung%20Inter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34CF-BA44-4FE9-8C19-F3F3B9FC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Mitteilung Intern</Template>
  <TotalTime>0</TotalTime>
  <Pages>3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wiltrud.hellmann</dc:creator>
  <cp:keywords/>
  <dc:description/>
  <cp:lastModifiedBy>anna s</cp:lastModifiedBy>
  <cp:revision>2</cp:revision>
  <cp:lastPrinted>2021-07-23T09:55:00Z</cp:lastPrinted>
  <dcterms:created xsi:type="dcterms:W3CDTF">2021-07-23T09:55:00Z</dcterms:created>
  <dcterms:modified xsi:type="dcterms:W3CDTF">2021-07-23T09:55:00Z</dcterms:modified>
</cp:coreProperties>
</file>